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7F7D" w14:textId="77777777" w:rsidR="004023EF" w:rsidRPr="00B41C1B" w:rsidRDefault="004023EF" w:rsidP="004023EF">
      <w:pPr>
        <w:pStyle w:val="NoSpacing"/>
        <w:jc w:val="center"/>
        <w:rPr>
          <w:rFonts w:ascii="Times New Roman" w:hAnsi="Times New Roman" w:cs="Times New Roman"/>
          <w:b/>
          <w:sz w:val="24"/>
          <w:szCs w:val="24"/>
        </w:rPr>
      </w:pPr>
      <w:r w:rsidRPr="00B41C1B">
        <w:rPr>
          <w:rFonts w:ascii="Times New Roman" w:hAnsi="Times New Roman" w:cs="Times New Roman"/>
          <w:b/>
          <w:sz w:val="24"/>
          <w:szCs w:val="24"/>
        </w:rPr>
        <w:t>GENERAL PROCUREMENT NOTICE (GPN)</w:t>
      </w:r>
    </w:p>
    <w:p w14:paraId="00D77344" w14:textId="77777777" w:rsidR="004023EF" w:rsidRPr="00B41C1B" w:rsidRDefault="004023EF" w:rsidP="004023EF">
      <w:pPr>
        <w:pStyle w:val="NoSpacing"/>
        <w:jc w:val="center"/>
        <w:rPr>
          <w:rFonts w:ascii="Times New Roman" w:hAnsi="Times New Roman" w:cs="Times New Roman"/>
          <w:b/>
          <w:sz w:val="24"/>
          <w:szCs w:val="24"/>
        </w:rPr>
      </w:pPr>
      <w:r w:rsidRPr="00B41C1B">
        <w:rPr>
          <w:rFonts w:ascii="Times New Roman" w:hAnsi="Times New Roman" w:cs="Times New Roman"/>
          <w:b/>
          <w:sz w:val="24"/>
          <w:szCs w:val="24"/>
        </w:rPr>
        <w:t>Country: Kosovo</w:t>
      </w:r>
    </w:p>
    <w:p w14:paraId="646D966C" w14:textId="71298F26" w:rsidR="004023EF" w:rsidRPr="00B41C1B" w:rsidRDefault="004023EF" w:rsidP="004023EF">
      <w:pPr>
        <w:pStyle w:val="NoSpacing"/>
        <w:jc w:val="center"/>
        <w:rPr>
          <w:rFonts w:ascii="Times New Roman" w:hAnsi="Times New Roman" w:cs="Times New Roman"/>
          <w:b/>
          <w:sz w:val="24"/>
          <w:szCs w:val="24"/>
        </w:rPr>
      </w:pPr>
      <w:r w:rsidRPr="00B41C1B">
        <w:rPr>
          <w:rFonts w:ascii="Times New Roman" w:hAnsi="Times New Roman" w:cs="Times New Roman"/>
          <w:b/>
          <w:sz w:val="24"/>
          <w:szCs w:val="24"/>
        </w:rPr>
        <w:t>Notice Number: 2023-KOS-GPN-00</w:t>
      </w:r>
      <w:r w:rsidR="00B41C1B">
        <w:rPr>
          <w:rFonts w:ascii="Times New Roman" w:hAnsi="Times New Roman" w:cs="Times New Roman"/>
          <w:b/>
          <w:sz w:val="24"/>
          <w:szCs w:val="24"/>
        </w:rPr>
        <w:t>3</w:t>
      </w:r>
    </w:p>
    <w:p w14:paraId="5B309935" w14:textId="77777777" w:rsidR="004023EF" w:rsidRPr="00B41C1B" w:rsidRDefault="004023EF" w:rsidP="004023EF">
      <w:pPr>
        <w:pStyle w:val="NoSpacing"/>
        <w:jc w:val="center"/>
        <w:rPr>
          <w:rFonts w:ascii="Times New Roman" w:hAnsi="Times New Roman" w:cs="Times New Roman"/>
          <w:b/>
          <w:sz w:val="24"/>
          <w:szCs w:val="24"/>
        </w:rPr>
      </w:pPr>
      <w:r w:rsidRPr="00B41C1B">
        <w:rPr>
          <w:rFonts w:ascii="Times New Roman" w:hAnsi="Times New Roman" w:cs="Times New Roman"/>
          <w:b/>
          <w:sz w:val="24"/>
          <w:szCs w:val="24"/>
        </w:rPr>
        <w:t>Agency: Millennium Challenge Corporation (MCC)</w:t>
      </w:r>
    </w:p>
    <w:p w14:paraId="727261BD" w14:textId="77777777" w:rsidR="004023EF" w:rsidRPr="00B41C1B" w:rsidRDefault="004023EF" w:rsidP="004023EF">
      <w:pPr>
        <w:pStyle w:val="NormalWeb"/>
        <w:spacing w:before="0" w:beforeAutospacing="0" w:after="0" w:afterAutospacing="0"/>
        <w:jc w:val="center"/>
        <w:rPr>
          <w:color w:val="222222"/>
          <w:lang w:val="en"/>
        </w:rPr>
      </w:pPr>
      <w:r w:rsidRPr="00B41C1B">
        <w:rPr>
          <w:b/>
          <w:bCs/>
          <w:color w:val="222222"/>
          <w:lang w:val="en"/>
        </w:rPr>
        <w:t>Government of The Republic of Kosovo</w:t>
      </w:r>
    </w:p>
    <w:p w14:paraId="291C878C" w14:textId="77777777" w:rsidR="004023EF" w:rsidRPr="00B41C1B" w:rsidRDefault="004023EF" w:rsidP="004023EF">
      <w:pPr>
        <w:pStyle w:val="NormalWeb"/>
        <w:spacing w:before="0" w:beforeAutospacing="0" w:after="0" w:afterAutospacing="0"/>
        <w:jc w:val="center"/>
        <w:rPr>
          <w:color w:val="222222"/>
          <w:lang w:val="en"/>
        </w:rPr>
      </w:pPr>
      <w:r w:rsidRPr="00B41C1B">
        <w:rPr>
          <w:b/>
          <w:bCs/>
          <w:color w:val="222222"/>
          <w:lang w:val="en"/>
        </w:rPr>
        <w:t xml:space="preserve">Millennium Challenge Account - Kosovo </w:t>
      </w:r>
    </w:p>
    <w:p w14:paraId="4688D150" w14:textId="62C1F767" w:rsidR="004023EF" w:rsidRPr="00B41C1B" w:rsidRDefault="00756C04" w:rsidP="004023EF">
      <w:pPr>
        <w:pStyle w:val="NormalWeb"/>
        <w:jc w:val="right"/>
        <w:rPr>
          <w:color w:val="222222"/>
          <w:lang w:val="en"/>
        </w:rPr>
      </w:pPr>
      <w:r>
        <w:rPr>
          <w:color w:val="222222"/>
          <w:lang w:val="en"/>
        </w:rPr>
        <w:t>First</w:t>
      </w:r>
      <w:r w:rsidRPr="00B41C1B">
        <w:rPr>
          <w:color w:val="222222"/>
          <w:lang w:val="en"/>
        </w:rPr>
        <w:t xml:space="preserve"> </w:t>
      </w:r>
      <w:r w:rsidR="004023EF" w:rsidRPr="00B41C1B">
        <w:rPr>
          <w:color w:val="222222"/>
          <w:lang w:val="en"/>
        </w:rPr>
        <w:t>Publication June 16, 2022</w:t>
      </w:r>
    </w:p>
    <w:p w14:paraId="09D2C089" w14:textId="463D0CF3" w:rsidR="004023EF" w:rsidRPr="00B41C1B" w:rsidRDefault="004023EF" w:rsidP="004023EF">
      <w:pPr>
        <w:pStyle w:val="NormalWeb"/>
        <w:jc w:val="right"/>
        <w:rPr>
          <w:color w:val="222222"/>
          <w:lang w:val="en"/>
        </w:rPr>
      </w:pPr>
      <w:r w:rsidRPr="00B41C1B">
        <w:rPr>
          <w:color w:val="222222"/>
          <w:lang w:val="en"/>
        </w:rPr>
        <w:t xml:space="preserve">Updated: </w:t>
      </w:r>
      <w:r w:rsidR="00725F77" w:rsidRPr="00B41C1B">
        <w:rPr>
          <w:color w:val="222222"/>
          <w:lang w:val="en"/>
        </w:rPr>
        <w:t>October 0</w:t>
      </w:r>
      <w:r w:rsidR="00756C04">
        <w:rPr>
          <w:color w:val="222222"/>
          <w:lang w:val="en"/>
        </w:rPr>
        <w:t>6</w:t>
      </w:r>
      <w:r w:rsidRPr="00B41C1B">
        <w:rPr>
          <w:color w:val="222222"/>
          <w:lang w:val="en"/>
        </w:rPr>
        <w:t>, 2023</w:t>
      </w:r>
    </w:p>
    <w:p w14:paraId="5971CB9C" w14:textId="588BF427" w:rsidR="004F1BA4" w:rsidRPr="00B41C1B" w:rsidRDefault="004B66B4" w:rsidP="00D727A4">
      <w:pPr>
        <w:pStyle w:val="NormalWeb"/>
        <w:jc w:val="both"/>
        <w:rPr>
          <w:color w:val="222222"/>
          <w:lang w:val="en"/>
        </w:rPr>
      </w:pPr>
      <w:r w:rsidRPr="00B41C1B">
        <w:rPr>
          <w:color w:val="222222"/>
          <w:lang w:val="en"/>
        </w:rPr>
        <w:t xml:space="preserve">The Government of the Republic of Kosovo (the “Government” or “GoK”) </w:t>
      </w:r>
      <w:r w:rsidR="004F1BA4" w:rsidRPr="00B41C1B">
        <w:rPr>
          <w:color w:val="222222"/>
          <w:lang w:val="en"/>
        </w:rPr>
        <w:t xml:space="preserve">has received grant funding of </w:t>
      </w:r>
      <w:r w:rsidRPr="00B41C1B">
        <w:rPr>
          <w:color w:val="222222"/>
          <w:lang w:val="en"/>
        </w:rPr>
        <w:t xml:space="preserve">Two Hundred Two Million United States Dollars (US $202,000,000) </w:t>
      </w:r>
      <w:r w:rsidR="004F1BA4" w:rsidRPr="00B41C1B">
        <w:rPr>
          <w:color w:val="222222"/>
          <w:lang w:val="en"/>
        </w:rPr>
        <w:t xml:space="preserve">from the Millennium Challenge Corporation (MCC) of the United States Government </w:t>
      </w:r>
      <w:r w:rsidR="00B20F07" w:rsidRPr="00B41C1B">
        <w:rPr>
          <w:color w:val="222222"/>
          <w:lang w:val="en"/>
        </w:rPr>
        <w:t xml:space="preserve">and a corresponding contribution from the Government of </w:t>
      </w:r>
      <w:r w:rsidR="004A4065" w:rsidRPr="00B41C1B">
        <w:rPr>
          <w:color w:val="222222"/>
          <w:lang w:val="en"/>
        </w:rPr>
        <w:t xml:space="preserve">Kosovo of </w:t>
      </w:r>
      <w:r w:rsidR="00B20F07" w:rsidRPr="00B41C1B">
        <w:rPr>
          <w:color w:val="222222"/>
          <w:lang w:val="en"/>
        </w:rPr>
        <w:t>approximately Thirty-Four Million Six Hundred Seventy Thousand Six Hundred United States Dollars (US$34,67</w:t>
      </w:r>
      <w:r w:rsidR="00A36B70" w:rsidRPr="00B41C1B">
        <w:rPr>
          <w:color w:val="222222"/>
          <w:lang w:val="en"/>
        </w:rPr>
        <w:t>0,</w:t>
      </w:r>
      <w:r w:rsidR="00B20F07" w:rsidRPr="00B41C1B">
        <w:rPr>
          <w:color w:val="222222"/>
          <w:lang w:val="en"/>
        </w:rPr>
        <w:t xml:space="preserve">600) </w:t>
      </w:r>
      <w:r w:rsidR="004F1BA4" w:rsidRPr="00B41C1B">
        <w:rPr>
          <w:color w:val="222222"/>
          <w:lang w:val="en"/>
        </w:rPr>
        <w:t xml:space="preserve">to enable the Government of </w:t>
      </w:r>
      <w:r w:rsidR="00B20F07" w:rsidRPr="00B41C1B">
        <w:rPr>
          <w:color w:val="222222"/>
          <w:lang w:val="en"/>
        </w:rPr>
        <w:t>Kosovo</w:t>
      </w:r>
      <w:r w:rsidR="004F1BA4" w:rsidRPr="00B41C1B">
        <w:rPr>
          <w:color w:val="222222"/>
          <w:lang w:val="en"/>
        </w:rPr>
        <w:t xml:space="preserve"> to implement this program and achieve the objectives of the MCC Grant (compact), and it intends to apply parts of the proceeds of the funds to payments for contracts for goods, works and services. </w:t>
      </w:r>
    </w:p>
    <w:p w14:paraId="22BF4E4A" w14:textId="261D9F37" w:rsidR="002707A6" w:rsidRPr="00B41C1B" w:rsidRDefault="002707A6" w:rsidP="00D727A4">
      <w:pPr>
        <w:pStyle w:val="NormalWeb"/>
        <w:jc w:val="both"/>
        <w:rPr>
          <w:color w:val="222222"/>
          <w:lang w:val="en"/>
        </w:rPr>
      </w:pPr>
      <w:r w:rsidRPr="00B41C1B">
        <w:rPr>
          <w:color w:val="222222"/>
          <w:lang w:val="en"/>
        </w:rPr>
        <w:t>MCC’s funding is appropriated by the U.S. Congress and obligated to the compact up-front, with no incremental or partial funding. When a contract is signed with an MCA Entity, money is already available to the MCA Entity and, for most contracts, invoices are paid directly to Contractors/Consultants/Suppliers by the US Treasury.</w:t>
      </w:r>
    </w:p>
    <w:tbl>
      <w:tblPr>
        <w:tblW w:w="5000" w:type="pct"/>
        <w:jc w:val="center"/>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9360"/>
      </w:tblGrid>
      <w:tr w:rsidR="004023EF" w:rsidRPr="00B41C1B" w14:paraId="7F78BEF5" w14:textId="77777777" w:rsidTr="00D3443A">
        <w:trPr>
          <w:jc w:val="center"/>
        </w:trPr>
        <w:tc>
          <w:tcPr>
            <w:tcW w:w="0" w:type="auto"/>
            <w:tcBorders>
              <w:top w:val="nil"/>
              <w:left w:val="nil"/>
              <w:bottom w:val="nil"/>
              <w:right w:val="nil"/>
            </w:tcBorders>
            <w:tcMar>
              <w:top w:w="120" w:type="dxa"/>
              <w:left w:w="150" w:type="dxa"/>
              <w:bottom w:w="120" w:type="dxa"/>
              <w:right w:w="150" w:type="dxa"/>
            </w:tcMar>
            <w:vAlign w:val="center"/>
            <w:hideMark/>
          </w:tcPr>
          <w:p w14:paraId="2924AFCB" w14:textId="77079A02" w:rsidR="004023EF" w:rsidRPr="00B41C1B" w:rsidRDefault="004023EF" w:rsidP="003E32B2">
            <w:pPr>
              <w:spacing w:before="75" w:after="75"/>
              <w:ind w:left="-60"/>
              <w:jc w:val="both"/>
              <w:rPr>
                <w:rFonts w:ascii="Times New Roman" w:eastAsia="Times New Roman" w:hAnsi="Times New Roman" w:cs="Times New Roman"/>
                <w:color w:val="222222"/>
                <w:sz w:val="24"/>
                <w:szCs w:val="24"/>
                <w:lang w:val="en"/>
              </w:rPr>
            </w:pPr>
            <w:r w:rsidRPr="00B41C1B">
              <w:rPr>
                <w:rFonts w:ascii="Times New Roman" w:eastAsia="Times New Roman" w:hAnsi="Times New Roman" w:cs="Times New Roman"/>
                <w:color w:val="222222"/>
                <w:sz w:val="24"/>
                <w:szCs w:val="24"/>
                <w:lang w:val="en"/>
              </w:rPr>
              <w:t xml:space="preserve">The procurement program for the period from </w:t>
            </w:r>
            <w:r w:rsidR="00725F77" w:rsidRPr="00B41C1B">
              <w:rPr>
                <w:rFonts w:ascii="Times New Roman" w:eastAsia="Times New Roman" w:hAnsi="Times New Roman" w:cs="Times New Roman"/>
                <w:color w:val="222222"/>
                <w:sz w:val="24"/>
                <w:szCs w:val="24"/>
                <w:lang w:val="en"/>
              </w:rPr>
              <w:t>September</w:t>
            </w:r>
            <w:r w:rsidRPr="00B41C1B">
              <w:rPr>
                <w:rFonts w:ascii="Times New Roman" w:eastAsia="Times New Roman" w:hAnsi="Times New Roman" w:cs="Times New Roman"/>
                <w:color w:val="222222"/>
                <w:sz w:val="24"/>
                <w:szCs w:val="24"/>
                <w:lang w:val="en"/>
              </w:rPr>
              <w:t xml:space="preserve"> 2023, through </w:t>
            </w:r>
            <w:r w:rsidR="00756C04">
              <w:rPr>
                <w:rFonts w:ascii="Times New Roman" w:eastAsia="Times New Roman" w:hAnsi="Times New Roman" w:cs="Times New Roman"/>
                <w:color w:val="222222"/>
                <w:sz w:val="24"/>
                <w:szCs w:val="24"/>
                <w:lang w:val="en"/>
              </w:rPr>
              <w:t>Septem</w:t>
            </w:r>
            <w:r w:rsidR="00756C04" w:rsidRPr="00B41C1B">
              <w:rPr>
                <w:rFonts w:ascii="Times New Roman" w:eastAsia="Times New Roman" w:hAnsi="Times New Roman" w:cs="Times New Roman"/>
                <w:color w:val="222222"/>
                <w:sz w:val="24"/>
                <w:szCs w:val="24"/>
                <w:lang w:val="en"/>
              </w:rPr>
              <w:t xml:space="preserve">ber </w:t>
            </w:r>
            <w:r w:rsidR="00725F77" w:rsidRPr="00B41C1B">
              <w:rPr>
                <w:rFonts w:ascii="Times New Roman" w:eastAsia="Times New Roman" w:hAnsi="Times New Roman" w:cs="Times New Roman"/>
                <w:color w:val="222222"/>
                <w:sz w:val="24"/>
                <w:szCs w:val="24"/>
                <w:lang w:val="en"/>
              </w:rPr>
              <w:t>202</w:t>
            </w:r>
            <w:r w:rsidR="00756C04">
              <w:rPr>
                <w:rFonts w:ascii="Times New Roman" w:eastAsia="Times New Roman" w:hAnsi="Times New Roman" w:cs="Times New Roman"/>
                <w:color w:val="222222"/>
                <w:sz w:val="24"/>
                <w:szCs w:val="24"/>
                <w:lang w:val="en"/>
              </w:rPr>
              <w:t>4</w:t>
            </w:r>
            <w:r w:rsidR="001D3212" w:rsidRPr="00B41C1B">
              <w:rPr>
                <w:rFonts w:ascii="Times New Roman" w:eastAsia="Times New Roman" w:hAnsi="Times New Roman" w:cs="Times New Roman"/>
                <w:color w:val="222222"/>
                <w:sz w:val="24"/>
                <w:szCs w:val="24"/>
                <w:lang w:val="en"/>
              </w:rPr>
              <w:t>,</w:t>
            </w:r>
            <w:r w:rsidRPr="00B41C1B">
              <w:rPr>
                <w:rFonts w:ascii="Times New Roman" w:eastAsia="Times New Roman" w:hAnsi="Times New Roman" w:cs="Times New Roman"/>
                <w:color w:val="222222"/>
                <w:sz w:val="24"/>
                <w:szCs w:val="24"/>
                <w:lang w:val="en"/>
              </w:rPr>
              <w:t xml:space="preserve"> will include the following:</w:t>
            </w:r>
          </w:p>
        </w:tc>
      </w:tr>
      <w:tr w:rsidR="004023EF" w:rsidRPr="00B41C1B" w14:paraId="5775E20A" w14:textId="77777777" w:rsidTr="003E32B2">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E7E6E6" w:themeFill="background2"/>
            <w:tcMar>
              <w:top w:w="120" w:type="dxa"/>
              <w:left w:w="150" w:type="dxa"/>
              <w:bottom w:w="120" w:type="dxa"/>
              <w:right w:w="150" w:type="dxa"/>
            </w:tcMar>
            <w:vAlign w:val="center"/>
            <w:hideMark/>
          </w:tcPr>
          <w:p w14:paraId="5642B064" w14:textId="77777777" w:rsidR="004023EF" w:rsidRPr="00B41C1B" w:rsidRDefault="004023EF" w:rsidP="00D3443A">
            <w:pPr>
              <w:pStyle w:val="Heading4"/>
              <w:rPr>
                <w:rFonts w:ascii="Helvetica" w:hAnsi="Helvetica"/>
                <w:b/>
                <w:bCs w:val="0"/>
                <w:sz w:val="20"/>
              </w:rPr>
            </w:pPr>
            <w:r w:rsidRPr="00B41C1B">
              <w:rPr>
                <w:b/>
                <w:bCs w:val="0"/>
              </w:rPr>
              <w:t xml:space="preserve">Procurement of Goods </w:t>
            </w:r>
          </w:p>
        </w:tc>
      </w:tr>
      <w:tr w:rsidR="004023EF" w:rsidRPr="00B41C1B" w14:paraId="6401C2F6"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hideMark/>
          </w:tcPr>
          <w:p w14:paraId="606D812F" w14:textId="5EFCED62" w:rsidR="004023EF" w:rsidRPr="00B41C1B" w:rsidRDefault="004023EF"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Office furniture </w:t>
            </w:r>
            <w:r w:rsidR="001D6A81" w:rsidRPr="00B41C1B">
              <w:rPr>
                <w:rFonts w:ascii="Times New Roman" w:hAnsi="Times New Roman" w:cs="Times New Roman"/>
              </w:rPr>
              <w:t>for MCA-Kosovo</w:t>
            </w:r>
          </w:p>
        </w:tc>
      </w:tr>
      <w:tr w:rsidR="004023EF" w:rsidRPr="00B41C1B" w14:paraId="6ECF5A11"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hideMark/>
          </w:tcPr>
          <w:p w14:paraId="32A13DDF" w14:textId="12EC8337" w:rsidR="004023EF" w:rsidRPr="00B41C1B" w:rsidRDefault="004023EF"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Office IT equipment</w:t>
            </w:r>
            <w:r w:rsidR="0032246C" w:rsidRPr="00B41C1B">
              <w:rPr>
                <w:rFonts w:ascii="Times New Roman" w:hAnsi="Times New Roman" w:cs="Times New Roman"/>
              </w:rPr>
              <w:t xml:space="preserve"> for MCA-Kosovo</w:t>
            </w:r>
            <w:r w:rsidR="00CF62C0" w:rsidRPr="00B41C1B">
              <w:rPr>
                <w:rFonts w:ascii="Times New Roman" w:hAnsi="Times New Roman" w:cs="Times New Roman"/>
              </w:rPr>
              <w:t xml:space="preserve">: </w:t>
            </w:r>
            <w:r w:rsidR="00454831" w:rsidRPr="00B41C1B">
              <w:rPr>
                <w:rFonts w:ascii="Times New Roman" w:hAnsi="Times New Roman" w:cs="Times New Roman"/>
              </w:rPr>
              <w:t>laptops</w:t>
            </w:r>
            <w:r w:rsidR="001D25F5" w:rsidRPr="00B41C1B">
              <w:rPr>
                <w:rFonts w:ascii="Times New Roman" w:hAnsi="Times New Roman" w:cs="Times New Roman"/>
              </w:rPr>
              <w:t xml:space="preserve"> including docking station and monitors</w:t>
            </w:r>
          </w:p>
        </w:tc>
      </w:tr>
      <w:tr w:rsidR="004023EF" w:rsidRPr="00B41C1B" w14:paraId="2BCE6E31"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6A0DBB11" w14:textId="2EF2047B" w:rsidR="004023EF" w:rsidRPr="00B41C1B" w:rsidRDefault="004023EF"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Personal protection equipment </w:t>
            </w:r>
            <w:r w:rsidR="00725F77" w:rsidRPr="00B41C1B">
              <w:rPr>
                <w:rFonts w:ascii="Times New Roman" w:hAnsi="Times New Roman" w:cs="Times New Roman"/>
              </w:rPr>
              <w:t xml:space="preserve">for KOSTT </w:t>
            </w:r>
            <w:r w:rsidR="00756C04">
              <w:rPr>
                <w:rFonts w:ascii="Times New Roman" w:hAnsi="Times New Roman" w:cs="Times New Roman"/>
              </w:rPr>
              <w:t>Project Implementing Unit</w:t>
            </w:r>
            <w:r w:rsidR="00756C04" w:rsidRPr="00B41C1B">
              <w:rPr>
                <w:rFonts w:ascii="Times New Roman" w:hAnsi="Times New Roman" w:cs="Times New Roman"/>
              </w:rPr>
              <w:t xml:space="preserve"> </w:t>
            </w:r>
          </w:p>
        </w:tc>
      </w:tr>
      <w:tr w:rsidR="004023EF" w:rsidRPr="00B41C1B" w14:paraId="1D96FEF3"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7A1548CE" w14:textId="1347F096" w:rsidR="004023EF" w:rsidRPr="00B41C1B" w:rsidRDefault="004023EF"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Software for </w:t>
            </w:r>
            <w:r w:rsidR="0044162E" w:rsidRPr="00B41C1B">
              <w:rPr>
                <w:rFonts w:ascii="Times New Roman" w:hAnsi="Times New Roman" w:cs="Times New Roman"/>
              </w:rPr>
              <w:t>the Transmission System and Market Operator (</w:t>
            </w:r>
            <w:r w:rsidRPr="00B41C1B">
              <w:rPr>
                <w:rFonts w:ascii="Times New Roman" w:hAnsi="Times New Roman" w:cs="Times New Roman"/>
              </w:rPr>
              <w:t>KOSTT</w:t>
            </w:r>
            <w:r w:rsidR="0044162E" w:rsidRPr="00B41C1B">
              <w:rPr>
                <w:rFonts w:ascii="Times New Roman" w:hAnsi="Times New Roman" w:cs="Times New Roman"/>
              </w:rPr>
              <w:t>)</w:t>
            </w:r>
            <w:r w:rsidR="003E336E" w:rsidRPr="00B41C1B">
              <w:rPr>
                <w:rFonts w:ascii="Times New Roman" w:hAnsi="Times New Roman" w:cs="Times New Roman"/>
              </w:rPr>
              <w:t xml:space="preserve"> </w:t>
            </w:r>
          </w:p>
        </w:tc>
      </w:tr>
      <w:tr w:rsidR="004023EF" w:rsidRPr="00B41C1B" w14:paraId="1A27884A" w14:textId="77777777" w:rsidTr="002D53FC">
        <w:trPr>
          <w:trHeight w:val="315"/>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36F2C2CA" w14:textId="7AE2F0BC" w:rsidR="004023EF" w:rsidRPr="00B41C1B" w:rsidRDefault="00725F77"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VOIP </w:t>
            </w:r>
            <w:r w:rsidR="004023EF" w:rsidRPr="00B41C1B">
              <w:rPr>
                <w:rFonts w:ascii="Times New Roman" w:hAnsi="Times New Roman" w:cs="Times New Roman"/>
              </w:rPr>
              <w:t>Phones</w:t>
            </w:r>
            <w:r w:rsidR="00276D9D" w:rsidRPr="00B41C1B">
              <w:rPr>
                <w:rFonts w:ascii="Times New Roman" w:hAnsi="Times New Roman" w:cs="Times New Roman"/>
              </w:rPr>
              <w:t xml:space="preserve"> for MCA-Kosovo</w:t>
            </w:r>
            <w:r w:rsidR="003E336E" w:rsidRPr="00B41C1B">
              <w:rPr>
                <w:rFonts w:ascii="Times New Roman" w:hAnsi="Times New Roman" w:cs="Times New Roman"/>
              </w:rPr>
              <w:t xml:space="preserve"> </w:t>
            </w:r>
          </w:p>
        </w:tc>
      </w:tr>
      <w:tr w:rsidR="004023EF" w:rsidRPr="00B41C1B" w14:paraId="2F687457"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79A44E9A" w14:textId="15A2A9CB" w:rsidR="004023EF" w:rsidRPr="00B41C1B" w:rsidRDefault="004023EF"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Vehicles </w:t>
            </w:r>
            <w:r w:rsidR="00276D9D" w:rsidRPr="00B41C1B">
              <w:rPr>
                <w:rFonts w:ascii="Times New Roman" w:hAnsi="Times New Roman" w:cs="Times New Roman"/>
              </w:rPr>
              <w:t xml:space="preserve">(3) </w:t>
            </w:r>
            <w:r w:rsidRPr="00B41C1B">
              <w:rPr>
                <w:rFonts w:ascii="Times New Roman" w:hAnsi="Times New Roman" w:cs="Times New Roman"/>
              </w:rPr>
              <w:t xml:space="preserve">for the MFES </w:t>
            </w:r>
            <w:r w:rsidR="006565A5" w:rsidRPr="00B41C1B">
              <w:rPr>
                <w:rFonts w:ascii="Times New Roman" w:hAnsi="Times New Roman" w:cs="Times New Roman"/>
              </w:rPr>
              <w:t>E</w:t>
            </w:r>
            <w:r w:rsidRPr="00B41C1B">
              <w:rPr>
                <w:rFonts w:ascii="Times New Roman" w:hAnsi="Times New Roman" w:cs="Times New Roman"/>
              </w:rPr>
              <w:t>ntity and KOSTT</w:t>
            </w:r>
            <w:r w:rsidR="003E336E" w:rsidRPr="00B41C1B">
              <w:rPr>
                <w:rFonts w:ascii="Times New Roman" w:hAnsi="Times New Roman" w:cs="Times New Roman"/>
              </w:rPr>
              <w:t xml:space="preserve"> </w:t>
            </w:r>
            <w:r w:rsidR="00756C04">
              <w:rPr>
                <w:rFonts w:ascii="Times New Roman" w:hAnsi="Times New Roman" w:cs="Times New Roman"/>
              </w:rPr>
              <w:t>Project Implementing Unit</w:t>
            </w:r>
          </w:p>
        </w:tc>
      </w:tr>
      <w:tr w:rsidR="004023EF" w:rsidRPr="00B41C1B" w14:paraId="2AF313B6"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5543F3F6" w14:textId="1C5892AF" w:rsidR="004023EF" w:rsidRPr="00B41C1B" w:rsidRDefault="004023EF" w:rsidP="002D53FC">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Computer equipment for KOSTT </w:t>
            </w:r>
            <w:r w:rsidR="00756C04">
              <w:rPr>
                <w:rFonts w:ascii="Times New Roman" w:hAnsi="Times New Roman" w:cs="Times New Roman"/>
              </w:rPr>
              <w:t>Project Implementing Unit</w:t>
            </w:r>
          </w:p>
        </w:tc>
      </w:tr>
      <w:tr w:rsidR="001D25F5" w:rsidRPr="00B41C1B" w14:paraId="205A9FA7"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452E680D" w14:textId="0D00176C" w:rsidR="001D25F5" w:rsidRPr="00B41C1B" w:rsidRDefault="001D25F5" w:rsidP="002D53FC">
            <w:pPr>
              <w:spacing w:after="120" w:line="240" w:lineRule="auto"/>
              <w:rPr>
                <w:rFonts w:ascii="Times New Roman" w:hAnsi="Times New Roman" w:cs="Times New Roman"/>
              </w:rPr>
            </w:pPr>
            <w:r w:rsidRPr="00B41C1B">
              <w:rPr>
                <w:rFonts w:ascii="Times New Roman" w:hAnsi="Times New Roman" w:cs="Times New Roman"/>
              </w:rPr>
              <w:lastRenderedPageBreak/>
              <w:t xml:space="preserve">Supply </w:t>
            </w:r>
            <w:r w:rsidR="00756C04">
              <w:rPr>
                <w:rFonts w:ascii="Times New Roman" w:hAnsi="Times New Roman" w:cs="Times New Roman"/>
              </w:rPr>
              <w:t>of</w:t>
            </w:r>
            <w:r w:rsidR="00756C04" w:rsidRPr="00B41C1B">
              <w:rPr>
                <w:rFonts w:ascii="Times New Roman" w:hAnsi="Times New Roman" w:cs="Times New Roman"/>
              </w:rPr>
              <w:t xml:space="preserve"> </w:t>
            </w:r>
            <w:r w:rsidRPr="00B41C1B">
              <w:rPr>
                <w:rFonts w:ascii="Times New Roman" w:hAnsi="Times New Roman" w:cs="Times New Roman"/>
              </w:rPr>
              <w:t>promotional material</w:t>
            </w:r>
            <w:r w:rsidR="00756C04">
              <w:rPr>
                <w:rFonts w:ascii="Times New Roman" w:hAnsi="Times New Roman" w:cs="Times New Roman"/>
              </w:rPr>
              <w:t>s</w:t>
            </w:r>
          </w:p>
        </w:tc>
      </w:tr>
      <w:tr w:rsidR="001D25F5" w:rsidRPr="00B41C1B" w14:paraId="56D1006C"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04C6B9C2" w14:textId="578F4786" w:rsidR="001D25F5" w:rsidRPr="00B41C1B" w:rsidRDefault="001D25F5" w:rsidP="002D53FC">
            <w:pPr>
              <w:spacing w:after="120" w:line="240" w:lineRule="auto"/>
              <w:rPr>
                <w:rFonts w:ascii="Times New Roman" w:hAnsi="Times New Roman" w:cs="Times New Roman"/>
              </w:rPr>
            </w:pPr>
            <w:r w:rsidRPr="00B41C1B">
              <w:rPr>
                <w:rFonts w:ascii="Times New Roman" w:hAnsi="Times New Roman" w:cs="Times New Roman"/>
              </w:rPr>
              <w:t xml:space="preserve">Supply </w:t>
            </w:r>
            <w:r w:rsidR="00756C04">
              <w:rPr>
                <w:rFonts w:ascii="Times New Roman" w:hAnsi="Times New Roman" w:cs="Times New Roman"/>
              </w:rPr>
              <w:t xml:space="preserve">of </w:t>
            </w:r>
            <w:r w:rsidRPr="00B41C1B">
              <w:rPr>
                <w:rFonts w:ascii="Times New Roman" w:hAnsi="Times New Roman" w:cs="Times New Roman"/>
              </w:rPr>
              <w:t>furniture for KOSTT</w:t>
            </w:r>
            <w:r w:rsidR="00756C04">
              <w:rPr>
                <w:rFonts w:ascii="Times New Roman" w:hAnsi="Times New Roman" w:cs="Times New Roman"/>
              </w:rPr>
              <w:t xml:space="preserve"> Project Implementing Unit</w:t>
            </w:r>
          </w:p>
        </w:tc>
      </w:tr>
      <w:tr w:rsidR="001D25F5" w:rsidRPr="00B41C1B" w14:paraId="5AED4612"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tcPr>
          <w:p w14:paraId="4201D24A" w14:textId="6EB0D002" w:rsidR="001D25F5" w:rsidRPr="00B41C1B" w:rsidRDefault="001D25F5" w:rsidP="002D53FC">
            <w:pPr>
              <w:spacing w:after="120" w:line="240" w:lineRule="auto"/>
              <w:rPr>
                <w:rFonts w:ascii="Times New Roman" w:hAnsi="Times New Roman" w:cs="Times New Roman"/>
              </w:rPr>
            </w:pPr>
            <w:r w:rsidRPr="00B41C1B">
              <w:rPr>
                <w:rFonts w:ascii="Times New Roman" w:hAnsi="Times New Roman" w:cs="Times New Roman"/>
              </w:rPr>
              <w:t>Office supplies</w:t>
            </w:r>
          </w:p>
        </w:tc>
      </w:tr>
      <w:tr w:rsidR="004023EF" w:rsidRPr="00B41C1B" w14:paraId="12EBFBBC" w14:textId="77777777" w:rsidTr="003E32B2">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E7E6E6" w:themeFill="background2"/>
            <w:tcMar>
              <w:top w:w="120" w:type="dxa"/>
              <w:left w:w="150" w:type="dxa"/>
              <w:bottom w:w="120" w:type="dxa"/>
              <w:right w:w="150" w:type="dxa"/>
            </w:tcMar>
          </w:tcPr>
          <w:p w14:paraId="1A643FB0" w14:textId="77777777" w:rsidR="004023EF" w:rsidRPr="00B41C1B" w:rsidRDefault="004023EF" w:rsidP="002D53FC">
            <w:pPr>
              <w:spacing w:after="120" w:line="240" w:lineRule="auto"/>
              <w:rPr>
                <w:rFonts w:ascii="Times New Roman" w:hAnsi="Times New Roman" w:cs="Times New Roman"/>
                <w:b/>
                <w:bCs/>
                <w:sz w:val="24"/>
                <w:szCs w:val="24"/>
              </w:rPr>
            </w:pPr>
            <w:r w:rsidRPr="00B41C1B">
              <w:rPr>
                <w:rFonts w:ascii="Times New Roman" w:hAnsi="Times New Roman" w:cs="Times New Roman"/>
                <w:b/>
                <w:bCs/>
                <w:sz w:val="24"/>
                <w:szCs w:val="24"/>
              </w:rPr>
              <w:t>Procurement of Non-consultant Services</w:t>
            </w:r>
          </w:p>
        </w:tc>
      </w:tr>
      <w:tr w:rsidR="004023EF" w:rsidRPr="00B41C1B" w14:paraId="66A2A656"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02252900" w14:textId="11256828" w:rsidR="004023EF" w:rsidRPr="00B41C1B" w:rsidRDefault="004023EF" w:rsidP="002D53FC">
            <w:pPr>
              <w:spacing w:after="120" w:line="240" w:lineRule="auto"/>
              <w:rPr>
                <w:rFonts w:ascii="Times New Roman" w:hAnsi="Times New Roman" w:cs="Times New Roman"/>
              </w:rPr>
            </w:pPr>
            <w:r w:rsidRPr="00B41C1B">
              <w:rPr>
                <w:rFonts w:ascii="Times New Roman" w:hAnsi="Times New Roman" w:cs="Times New Roman"/>
              </w:rPr>
              <w:t>Translation services (several B</w:t>
            </w:r>
            <w:r w:rsidR="00D240A4" w:rsidRPr="00B41C1B">
              <w:rPr>
                <w:rFonts w:ascii="Times New Roman" w:hAnsi="Times New Roman" w:cs="Times New Roman"/>
              </w:rPr>
              <w:t xml:space="preserve">lanket </w:t>
            </w:r>
            <w:r w:rsidRPr="00B41C1B">
              <w:rPr>
                <w:rFonts w:ascii="Times New Roman" w:hAnsi="Times New Roman" w:cs="Times New Roman"/>
              </w:rPr>
              <w:t>P</w:t>
            </w:r>
            <w:r w:rsidR="00D240A4" w:rsidRPr="00B41C1B">
              <w:rPr>
                <w:rFonts w:ascii="Times New Roman" w:hAnsi="Times New Roman" w:cs="Times New Roman"/>
              </w:rPr>
              <w:t xml:space="preserve">urchase </w:t>
            </w:r>
            <w:r w:rsidRPr="00B41C1B">
              <w:rPr>
                <w:rFonts w:ascii="Times New Roman" w:hAnsi="Times New Roman" w:cs="Times New Roman"/>
              </w:rPr>
              <w:t>A</w:t>
            </w:r>
            <w:r w:rsidR="00D240A4" w:rsidRPr="00B41C1B">
              <w:rPr>
                <w:rFonts w:ascii="Times New Roman" w:hAnsi="Times New Roman" w:cs="Times New Roman"/>
              </w:rPr>
              <w:t>greement</w:t>
            </w:r>
            <w:r w:rsidRPr="00B41C1B">
              <w:rPr>
                <w:rFonts w:ascii="Times New Roman" w:hAnsi="Times New Roman" w:cs="Times New Roman"/>
              </w:rPr>
              <w:t>s)</w:t>
            </w:r>
            <w:r w:rsidR="001B4CB6" w:rsidRPr="00B41C1B">
              <w:rPr>
                <w:rFonts w:ascii="Times New Roman" w:hAnsi="Times New Roman" w:cs="Times New Roman"/>
              </w:rPr>
              <w:t xml:space="preserve"> </w:t>
            </w:r>
          </w:p>
        </w:tc>
      </w:tr>
      <w:tr w:rsidR="004023EF" w:rsidRPr="00B41C1B" w14:paraId="4BF8F370"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08D41A13" w14:textId="2DB26DDE" w:rsidR="004023EF" w:rsidRPr="00B41C1B" w:rsidRDefault="004023EF" w:rsidP="002D53FC">
            <w:pPr>
              <w:spacing w:after="120" w:line="240" w:lineRule="auto"/>
              <w:rPr>
                <w:rFonts w:ascii="Times New Roman" w:hAnsi="Times New Roman" w:cs="Times New Roman"/>
              </w:rPr>
            </w:pPr>
            <w:r w:rsidRPr="00B41C1B">
              <w:rPr>
                <w:rFonts w:ascii="Times New Roman" w:hAnsi="Times New Roman" w:cs="Times New Roman"/>
              </w:rPr>
              <w:t>Office cleaning service MCA</w:t>
            </w:r>
            <w:r w:rsidR="001D25F5" w:rsidRPr="00B41C1B">
              <w:rPr>
                <w:rFonts w:ascii="Times New Roman" w:hAnsi="Times New Roman" w:cs="Times New Roman"/>
              </w:rPr>
              <w:t>-Kosovo</w:t>
            </w:r>
          </w:p>
        </w:tc>
      </w:tr>
      <w:tr w:rsidR="004023EF" w:rsidRPr="00B41C1B" w14:paraId="14CB7DD1" w14:textId="77777777" w:rsidTr="003E32B2">
        <w:trPr>
          <w:trHeight w:val="459"/>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3F936661" w14:textId="0D43D408" w:rsidR="004023EF" w:rsidRPr="00B41C1B" w:rsidRDefault="004023EF" w:rsidP="002D53FC">
            <w:pPr>
              <w:spacing w:after="120" w:line="240" w:lineRule="auto"/>
              <w:rPr>
                <w:rFonts w:ascii="Times New Roman" w:hAnsi="Times New Roman" w:cs="Times New Roman"/>
              </w:rPr>
            </w:pPr>
            <w:r w:rsidRPr="00B41C1B">
              <w:rPr>
                <w:rFonts w:ascii="Times New Roman" w:hAnsi="Times New Roman" w:cs="Times New Roman"/>
              </w:rPr>
              <w:t xml:space="preserve">Internet </w:t>
            </w:r>
            <w:r w:rsidR="00582915" w:rsidRPr="00B41C1B">
              <w:rPr>
                <w:rFonts w:ascii="Times New Roman" w:hAnsi="Times New Roman" w:cs="Times New Roman"/>
              </w:rPr>
              <w:t>Services</w:t>
            </w:r>
            <w:r w:rsidRPr="00B41C1B">
              <w:rPr>
                <w:rFonts w:ascii="Times New Roman" w:hAnsi="Times New Roman" w:cs="Times New Roman"/>
              </w:rPr>
              <w:t xml:space="preserve"> for </w:t>
            </w:r>
            <w:r w:rsidR="00057049" w:rsidRPr="00B41C1B">
              <w:rPr>
                <w:rFonts w:ascii="Times New Roman" w:hAnsi="Times New Roman" w:cs="Times New Roman"/>
              </w:rPr>
              <w:t>MCA-Kosovo</w:t>
            </w:r>
            <w:r w:rsidR="003D015E" w:rsidRPr="00B41C1B">
              <w:rPr>
                <w:rFonts w:ascii="Times New Roman" w:hAnsi="Times New Roman" w:cs="Times New Roman"/>
              </w:rPr>
              <w:t xml:space="preserve"> </w:t>
            </w:r>
          </w:p>
        </w:tc>
      </w:tr>
      <w:tr w:rsidR="004023EF" w:rsidRPr="00B41C1B" w14:paraId="58BA6AFD"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5DA687F3" w14:textId="21537F24" w:rsidR="004023EF" w:rsidRPr="00B41C1B" w:rsidRDefault="004023EF" w:rsidP="002D53FC">
            <w:pPr>
              <w:spacing w:after="120" w:line="240" w:lineRule="auto"/>
              <w:rPr>
                <w:rFonts w:ascii="Times New Roman" w:hAnsi="Times New Roman" w:cs="Times New Roman"/>
              </w:rPr>
            </w:pPr>
            <w:r w:rsidRPr="00B41C1B">
              <w:rPr>
                <w:rFonts w:ascii="Times New Roman" w:hAnsi="Times New Roman" w:cs="Times New Roman"/>
              </w:rPr>
              <w:t>Cars insurance</w:t>
            </w:r>
            <w:r w:rsidR="003D015E" w:rsidRPr="00B41C1B">
              <w:rPr>
                <w:rFonts w:ascii="Times New Roman" w:hAnsi="Times New Roman" w:cs="Times New Roman"/>
              </w:rPr>
              <w:t xml:space="preserve"> </w:t>
            </w:r>
            <w:r w:rsidR="00B41C1B" w:rsidRPr="00B41C1B">
              <w:rPr>
                <w:rFonts w:ascii="Times New Roman" w:hAnsi="Times New Roman" w:cs="Times New Roman"/>
              </w:rPr>
              <w:t>for MCA-Kosovo</w:t>
            </w:r>
          </w:p>
        </w:tc>
      </w:tr>
      <w:tr w:rsidR="00B41C1B" w:rsidRPr="00B41C1B" w14:paraId="5A6D22F8"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33B5A44E" w14:textId="3B3F5481" w:rsidR="00B41C1B" w:rsidRPr="00B41C1B" w:rsidRDefault="00B41C1B" w:rsidP="00B41C1B">
            <w:pPr>
              <w:spacing w:after="120" w:line="240" w:lineRule="auto"/>
              <w:rPr>
                <w:rFonts w:ascii="Times New Roman" w:hAnsi="Times New Roman" w:cs="Times New Roman"/>
              </w:rPr>
            </w:pPr>
            <w:r w:rsidRPr="00B41C1B">
              <w:rPr>
                <w:rFonts w:ascii="Times New Roman" w:hAnsi="Times New Roman" w:cs="Times New Roman"/>
              </w:rPr>
              <w:t>Cars insurance for KOSTT and MFES</w:t>
            </w:r>
          </w:p>
        </w:tc>
      </w:tr>
      <w:tr w:rsidR="00B41C1B" w:rsidRPr="00B41C1B" w14:paraId="2EEA3EDB"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6BF19B93" w14:textId="23513631" w:rsidR="00B41C1B" w:rsidRPr="00B41C1B" w:rsidRDefault="00B41C1B" w:rsidP="00B41C1B">
            <w:pPr>
              <w:spacing w:after="120" w:line="240" w:lineRule="auto"/>
              <w:rPr>
                <w:rFonts w:ascii="Times New Roman" w:hAnsi="Times New Roman" w:cs="Times New Roman"/>
              </w:rPr>
            </w:pPr>
            <w:r w:rsidRPr="00B41C1B">
              <w:rPr>
                <w:rFonts w:ascii="Times New Roman" w:hAnsi="Times New Roman" w:cs="Times New Roman"/>
              </w:rPr>
              <w:t>Health and Safety Training for KOSTT</w:t>
            </w:r>
            <w:r w:rsidR="00756C04">
              <w:rPr>
                <w:rFonts w:ascii="Times New Roman" w:hAnsi="Times New Roman" w:cs="Times New Roman"/>
              </w:rPr>
              <w:t xml:space="preserve"> Project Implementing Unit</w:t>
            </w:r>
          </w:p>
        </w:tc>
      </w:tr>
      <w:tr w:rsidR="007A2341" w:rsidRPr="00B41C1B" w14:paraId="52E15699"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auto"/>
            <w:tcMar>
              <w:top w:w="120" w:type="dxa"/>
              <w:left w:w="150" w:type="dxa"/>
              <w:bottom w:w="120" w:type="dxa"/>
              <w:right w:w="150" w:type="dxa"/>
            </w:tcMar>
          </w:tcPr>
          <w:p w14:paraId="5C5F6638" w14:textId="4C4D4BF0" w:rsidR="007A2341" w:rsidRPr="00B41C1B" w:rsidRDefault="007A2341" w:rsidP="00B41C1B">
            <w:pPr>
              <w:spacing w:after="120" w:line="240" w:lineRule="auto"/>
              <w:rPr>
                <w:rFonts w:ascii="Times New Roman" w:hAnsi="Times New Roman" w:cs="Times New Roman"/>
              </w:rPr>
            </w:pPr>
            <w:r>
              <w:rPr>
                <w:rFonts w:ascii="Times New Roman" w:hAnsi="Times New Roman" w:cs="Times New Roman"/>
              </w:rPr>
              <w:t xml:space="preserve">Hotels services and conference rooms renting services </w:t>
            </w:r>
          </w:p>
        </w:tc>
      </w:tr>
      <w:tr w:rsidR="00B41C1B" w:rsidRPr="00B41C1B" w14:paraId="6839B0C1" w14:textId="77777777" w:rsidTr="002D53FC">
        <w:trPr>
          <w:trHeight w:val="315"/>
          <w:jc w:val="center"/>
        </w:trPr>
        <w:tc>
          <w:tcPr>
            <w:tcW w:w="0" w:type="auto"/>
            <w:tcBorders>
              <w:top w:val="single" w:sz="6" w:space="0" w:color="222222"/>
              <w:left w:val="single" w:sz="6" w:space="0" w:color="222222"/>
              <w:bottom w:val="single" w:sz="6" w:space="0" w:color="222222"/>
              <w:right w:val="single" w:sz="6" w:space="0" w:color="222222"/>
            </w:tcBorders>
            <w:shd w:val="clear" w:color="auto" w:fill="E7E6E6" w:themeFill="background2"/>
            <w:tcMar>
              <w:top w:w="120" w:type="dxa"/>
              <w:left w:w="150" w:type="dxa"/>
              <w:bottom w:w="120" w:type="dxa"/>
              <w:right w:w="150" w:type="dxa"/>
            </w:tcMar>
            <w:vAlign w:val="center"/>
            <w:hideMark/>
          </w:tcPr>
          <w:p w14:paraId="02A75377" w14:textId="77777777" w:rsidR="00B41C1B" w:rsidRPr="00B41C1B" w:rsidRDefault="00B41C1B" w:rsidP="00B41C1B">
            <w:pPr>
              <w:pStyle w:val="Heading4"/>
              <w:spacing w:after="120" w:line="240" w:lineRule="auto"/>
              <w:rPr>
                <w:rFonts w:ascii="Times New Roman" w:hAnsi="Times New Roman" w:cs="Times New Roman"/>
                <w:b/>
                <w:bCs w:val="0"/>
              </w:rPr>
            </w:pPr>
            <w:r w:rsidRPr="00B41C1B">
              <w:rPr>
                <w:rFonts w:ascii="Times New Roman" w:hAnsi="Times New Roman" w:cs="Times New Roman"/>
                <w:b/>
                <w:bCs w:val="0"/>
              </w:rPr>
              <w:t xml:space="preserve">Procurement of Works </w:t>
            </w:r>
          </w:p>
        </w:tc>
      </w:tr>
      <w:tr w:rsidR="00B41C1B" w:rsidRPr="00B41C1B" w14:paraId="6ABD0475"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vAlign w:val="bottom"/>
            <w:hideMark/>
          </w:tcPr>
          <w:p w14:paraId="083EC29F" w14:textId="25526C26" w:rsidR="00B41C1B" w:rsidRPr="00B41C1B" w:rsidRDefault="00B41C1B" w:rsidP="00B41C1B">
            <w:pPr>
              <w:spacing w:after="120" w:line="240" w:lineRule="auto"/>
              <w:rPr>
                <w:rFonts w:ascii="Times New Roman" w:hAnsi="Times New Roman" w:cs="Times New Roman"/>
                <w:color w:val="222222"/>
                <w:sz w:val="20"/>
                <w:szCs w:val="20"/>
              </w:rPr>
            </w:pPr>
            <w:r w:rsidRPr="00B41C1B">
              <w:rPr>
                <w:rFonts w:ascii="Times New Roman" w:hAnsi="Times New Roman" w:cs="Times New Roman"/>
                <w:color w:val="000000"/>
              </w:rPr>
              <w:t xml:space="preserve">Fence around one project site </w:t>
            </w:r>
          </w:p>
        </w:tc>
      </w:tr>
      <w:tr w:rsidR="00B41C1B" w:rsidRPr="00B41C1B" w14:paraId="517B5811" w14:textId="77777777" w:rsidTr="003E32B2">
        <w:trPr>
          <w:jc w:val="center"/>
        </w:trPr>
        <w:tc>
          <w:tcPr>
            <w:tcW w:w="0" w:type="auto"/>
            <w:tcBorders>
              <w:top w:val="single" w:sz="6" w:space="0" w:color="222222"/>
              <w:left w:val="single" w:sz="6" w:space="0" w:color="222222"/>
              <w:bottom w:val="single" w:sz="6" w:space="0" w:color="222222"/>
              <w:right w:val="single" w:sz="6" w:space="0" w:color="222222"/>
            </w:tcBorders>
            <w:shd w:val="clear" w:color="auto" w:fill="E7E6E6" w:themeFill="background2"/>
            <w:tcMar>
              <w:top w:w="120" w:type="dxa"/>
              <w:left w:w="150" w:type="dxa"/>
              <w:bottom w:w="120" w:type="dxa"/>
              <w:right w:w="150" w:type="dxa"/>
            </w:tcMar>
            <w:vAlign w:val="center"/>
            <w:hideMark/>
          </w:tcPr>
          <w:p w14:paraId="7060ED45" w14:textId="77777777" w:rsidR="00B41C1B" w:rsidRPr="00B41C1B" w:rsidRDefault="00B41C1B" w:rsidP="00B41C1B">
            <w:pPr>
              <w:pStyle w:val="Heading4"/>
              <w:spacing w:after="120" w:line="240" w:lineRule="auto"/>
              <w:rPr>
                <w:rFonts w:ascii="Times New Roman" w:hAnsi="Times New Roman" w:cs="Times New Roman"/>
                <w:b/>
                <w:bCs w:val="0"/>
                <w:sz w:val="20"/>
              </w:rPr>
            </w:pPr>
            <w:r w:rsidRPr="00B41C1B">
              <w:rPr>
                <w:rFonts w:ascii="Times New Roman" w:hAnsi="Times New Roman" w:cs="Times New Roman"/>
                <w:b/>
                <w:bCs w:val="0"/>
              </w:rPr>
              <w:t xml:space="preserve">Procurement of Consultant Services </w:t>
            </w:r>
          </w:p>
        </w:tc>
      </w:tr>
      <w:tr w:rsidR="00B41C1B" w:rsidRPr="00B41C1B" w14:paraId="6B46095D" w14:textId="77777777" w:rsidTr="002D53FC">
        <w:trPr>
          <w:trHeight w:val="549"/>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hideMark/>
          </w:tcPr>
          <w:p w14:paraId="03EE6284" w14:textId="6D1B05B4" w:rsidR="00B41C1B" w:rsidRPr="00B41C1B" w:rsidRDefault="00B41C1B" w:rsidP="00B41C1B">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Ministry of Environment, Spatial Planning, and Infrastructure (MESPI) greenhouse gas Inventory Technical Assistance </w:t>
            </w:r>
          </w:p>
        </w:tc>
      </w:tr>
      <w:tr w:rsidR="00B41C1B" w:rsidRPr="00B41C1B" w14:paraId="1676FDEC"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hideMark/>
          </w:tcPr>
          <w:p w14:paraId="78E22373" w14:textId="2903F647" w:rsidR="00B41C1B" w:rsidRPr="00B41C1B" w:rsidRDefault="00B41C1B" w:rsidP="00B41C1B">
            <w:pPr>
              <w:spacing w:after="120" w:line="240" w:lineRule="auto"/>
              <w:rPr>
                <w:rFonts w:ascii="Times New Roman" w:hAnsi="Times New Roman" w:cs="Times New Roman"/>
                <w:color w:val="222222"/>
                <w:sz w:val="20"/>
                <w:szCs w:val="20"/>
              </w:rPr>
            </w:pPr>
            <w:r w:rsidRPr="00B41C1B">
              <w:rPr>
                <w:rFonts w:ascii="Times New Roman" w:hAnsi="Times New Roman" w:cs="Times New Roman"/>
              </w:rPr>
              <w:t xml:space="preserve">Recruitment firm for MFES Entity key staff </w:t>
            </w:r>
          </w:p>
        </w:tc>
      </w:tr>
      <w:tr w:rsidR="00B41C1B" w:rsidRPr="00B41C1B" w14:paraId="4EBB34E6" w14:textId="77777777" w:rsidTr="00D3443A">
        <w:trPr>
          <w:jc w:val="center"/>
        </w:trPr>
        <w:tc>
          <w:tcPr>
            <w:tcW w:w="0" w:type="auto"/>
            <w:tcBorders>
              <w:top w:val="single" w:sz="6" w:space="0" w:color="222222"/>
              <w:left w:val="single" w:sz="6" w:space="0" w:color="222222"/>
              <w:bottom w:val="single" w:sz="6" w:space="0" w:color="222222"/>
              <w:right w:val="single" w:sz="6" w:space="0" w:color="222222"/>
            </w:tcBorders>
            <w:tcMar>
              <w:top w:w="120" w:type="dxa"/>
              <w:left w:w="150" w:type="dxa"/>
              <w:bottom w:w="120" w:type="dxa"/>
              <w:right w:w="150" w:type="dxa"/>
            </w:tcMar>
            <w:vAlign w:val="center"/>
          </w:tcPr>
          <w:p w14:paraId="3D2BA73A" w14:textId="09CA834F" w:rsidR="00B41C1B" w:rsidRPr="00B41C1B" w:rsidRDefault="00B41C1B" w:rsidP="00B41C1B">
            <w:pPr>
              <w:spacing w:after="120" w:line="240" w:lineRule="auto"/>
              <w:rPr>
                <w:rFonts w:ascii="Times New Roman" w:hAnsi="Times New Roman" w:cs="Times New Roman"/>
                <w:color w:val="222222"/>
              </w:rPr>
            </w:pPr>
            <w:r w:rsidRPr="00B41C1B">
              <w:rPr>
                <w:rFonts w:ascii="Times New Roman" w:hAnsi="Times New Roman" w:cs="Times New Roman"/>
                <w:color w:val="222222"/>
              </w:rPr>
              <w:t xml:space="preserve">Audit Services </w:t>
            </w:r>
          </w:p>
        </w:tc>
      </w:tr>
    </w:tbl>
    <w:p w14:paraId="36783B16" w14:textId="77777777" w:rsidR="004023EF" w:rsidRPr="00B41C1B" w:rsidRDefault="004023EF" w:rsidP="00586343">
      <w:pPr>
        <w:pStyle w:val="NormalWeb"/>
        <w:jc w:val="both"/>
        <w:rPr>
          <w:rFonts w:ascii="warnock-pro-1" w:hAnsi="warnock-pro-1"/>
          <w:color w:val="222222"/>
          <w:lang w:val="en"/>
        </w:rPr>
      </w:pPr>
      <w:r w:rsidRPr="00B41C1B">
        <w:rPr>
          <w:rFonts w:ascii="warnock-pro-1" w:hAnsi="warnock-pro-1"/>
          <w:color w:val="222222"/>
          <w:lang w:val="en"/>
        </w:rPr>
        <w:t>Contracts for goods, works and services financed under the program will be implemented according to the principles, rules and procedures set out in the MCC Program Procurement Guidelines, which can be found at the MCA Entity’s website.</w:t>
      </w:r>
    </w:p>
    <w:p w14:paraId="3D7F8C38" w14:textId="77777777" w:rsidR="004023EF" w:rsidRPr="00B41C1B" w:rsidRDefault="004023EF" w:rsidP="00586343">
      <w:pPr>
        <w:pStyle w:val="NormalWeb"/>
        <w:jc w:val="both"/>
        <w:rPr>
          <w:rFonts w:ascii="warnock-pro-1" w:hAnsi="warnock-pro-1"/>
          <w:color w:val="222222"/>
          <w:lang w:val="en"/>
        </w:rPr>
      </w:pPr>
      <w:r w:rsidRPr="00B41C1B">
        <w:rPr>
          <w:rFonts w:ascii="warnock-pro-1" w:hAnsi="warnock-pro-1"/>
          <w:color w:val="222222"/>
          <w:lang w:val="en"/>
        </w:rPr>
        <w:t>The procurement is open to all bidders from eligible source countries as defined in the MCC Program Procurement Guidelines.</w:t>
      </w:r>
    </w:p>
    <w:p w14:paraId="613306ED" w14:textId="7B490A2F" w:rsidR="004023EF" w:rsidRPr="00B41C1B" w:rsidRDefault="004023EF" w:rsidP="004023EF">
      <w:pPr>
        <w:pStyle w:val="NormalWeb"/>
        <w:jc w:val="both"/>
        <w:rPr>
          <w:rFonts w:ascii="warnock-pro-1" w:hAnsi="warnock-pro-1"/>
          <w:color w:val="222222"/>
          <w:lang w:val="en"/>
        </w:rPr>
      </w:pPr>
      <w:r w:rsidRPr="00B41C1B">
        <w:rPr>
          <w:rFonts w:ascii="warnock-pro-1" w:hAnsi="warnock-pro-1"/>
          <w:color w:val="222222"/>
          <w:lang w:val="en"/>
        </w:rPr>
        <w:lastRenderedPageBreak/>
        <w:t>Specific procurement notices for contracts to be tendered under the competitive bidding procedures and for consultant contracts will be announced, as they become available, on the MCA Entity’s website</w:t>
      </w:r>
      <w:r w:rsidR="002D5E9B" w:rsidRPr="00B41C1B">
        <w:rPr>
          <w:rFonts w:ascii="warnock-pro-1" w:hAnsi="warnock-pro-1"/>
          <w:color w:val="222222"/>
          <w:lang w:val="en"/>
        </w:rPr>
        <w:t xml:space="preserve"> (when available)</w:t>
      </w:r>
      <w:r w:rsidRPr="00B41C1B">
        <w:rPr>
          <w:rFonts w:ascii="warnock-pro-1" w:hAnsi="warnock-pro-1"/>
          <w:color w:val="222222"/>
          <w:lang w:val="en"/>
        </w:rPr>
        <w:t xml:space="preserve">, United Nations Development Business (UNDB): </w:t>
      </w:r>
      <w:hyperlink r:id="rId6" w:history="1">
        <w:r w:rsidRPr="00B41C1B">
          <w:rPr>
            <w:rStyle w:val="Hyperlink"/>
            <w:rFonts w:ascii="warnock-pro-1" w:hAnsi="warnock-pro-1"/>
            <w:lang w:val="en"/>
          </w:rPr>
          <w:t>http://www.devbusiness.com/</w:t>
        </w:r>
      </w:hyperlink>
      <w:r w:rsidRPr="00B41C1B">
        <w:rPr>
          <w:rFonts w:ascii="warnock-pro-1" w:hAnsi="warnock-pro-1"/>
          <w:color w:val="222222"/>
          <w:lang w:val="en"/>
        </w:rPr>
        <w:t xml:space="preserve">, Development Gateway Market (dgMarket): </w:t>
      </w:r>
      <w:hyperlink r:id="rId7" w:history="1">
        <w:r w:rsidRPr="00B41C1B">
          <w:rPr>
            <w:rStyle w:val="Hyperlink"/>
            <w:rFonts w:ascii="warnock-pro-1" w:hAnsi="warnock-pro-1"/>
            <w:lang w:val="en"/>
          </w:rPr>
          <w:t>http://www.dgmarket.com/</w:t>
        </w:r>
      </w:hyperlink>
      <w:r w:rsidRPr="00B41C1B">
        <w:rPr>
          <w:rFonts w:ascii="warnock-pro-1" w:hAnsi="warnock-pro-1"/>
          <w:color w:val="222222"/>
          <w:lang w:val="en"/>
        </w:rPr>
        <w:t>, in local newspapers, and other media outlets as appropriate.</w:t>
      </w:r>
    </w:p>
    <w:p w14:paraId="7D9D8FFB" w14:textId="77777777" w:rsidR="004023EF" w:rsidRPr="00B41C1B" w:rsidRDefault="004023EF" w:rsidP="004023EF">
      <w:pPr>
        <w:pStyle w:val="NormalWeb"/>
        <w:jc w:val="both"/>
        <w:rPr>
          <w:rFonts w:ascii="warnock-pro-1" w:hAnsi="warnock-pro-1"/>
          <w:color w:val="222222"/>
          <w:lang w:val="en"/>
        </w:rPr>
      </w:pPr>
      <w:r w:rsidRPr="00B41C1B">
        <w:rPr>
          <w:rFonts w:ascii="warnock-pro-1" w:hAnsi="warnock-pro-1"/>
          <w:color w:val="222222"/>
          <w:lang w:val="en"/>
        </w:rPr>
        <w:t>Interested eligible contractors and consultants who wish to be included on the mailing list to receive a copy of advertisements, or those requiring additional information, should contact:</w:t>
      </w:r>
    </w:p>
    <w:tbl>
      <w:tblPr>
        <w:tblStyle w:val="TableGrid1"/>
        <w:tblW w:w="0" w:type="auto"/>
        <w:tblInd w:w="415" w:type="dxa"/>
        <w:tblBorders>
          <w:top w:val="single" w:sz="12" w:space="0" w:color="002664"/>
          <w:left w:val="single" w:sz="12" w:space="0" w:color="002664"/>
          <w:bottom w:val="single" w:sz="12" w:space="0" w:color="002664"/>
          <w:right w:val="single" w:sz="12" w:space="0" w:color="002664"/>
          <w:insideH w:val="single" w:sz="6" w:space="0" w:color="002664"/>
          <w:insideV w:val="single" w:sz="6" w:space="0" w:color="002664"/>
        </w:tblBorders>
        <w:tblLook w:val="04A0" w:firstRow="1" w:lastRow="0" w:firstColumn="1" w:lastColumn="0" w:noHBand="0" w:noVBand="1"/>
      </w:tblPr>
      <w:tblGrid>
        <w:gridCol w:w="2630"/>
        <w:gridCol w:w="6210"/>
      </w:tblGrid>
      <w:tr w:rsidR="004023EF" w:rsidRPr="00B41C1B" w14:paraId="287D623D" w14:textId="77777777" w:rsidTr="00D3443A">
        <w:trPr>
          <w:trHeight w:val="573"/>
        </w:trPr>
        <w:tc>
          <w:tcPr>
            <w:tcW w:w="2630" w:type="dxa"/>
            <w:vAlign w:val="center"/>
          </w:tcPr>
          <w:p w14:paraId="20A980E1" w14:textId="77777777" w:rsidR="004023EF" w:rsidRPr="00B41C1B" w:rsidRDefault="004023EF" w:rsidP="00D3443A">
            <w:pPr>
              <w:ind w:left="90"/>
              <w:jc w:val="right"/>
              <w:rPr>
                <w:rFonts w:ascii="Times New Roman" w:hAnsi="Times New Roman" w:cs="Times New Roman"/>
                <w:szCs w:val="24"/>
              </w:rPr>
            </w:pPr>
            <w:r w:rsidRPr="00B41C1B">
              <w:rPr>
                <w:rFonts w:ascii="Times New Roman" w:hAnsi="Times New Roman" w:cs="Times New Roman"/>
                <w:szCs w:val="24"/>
              </w:rPr>
              <w:t>Procurement Agent:</w:t>
            </w:r>
          </w:p>
        </w:tc>
        <w:tc>
          <w:tcPr>
            <w:tcW w:w="6210" w:type="dxa"/>
            <w:vAlign w:val="center"/>
          </w:tcPr>
          <w:p w14:paraId="21C1F269" w14:textId="77777777" w:rsidR="004023EF" w:rsidRPr="00B41C1B" w:rsidRDefault="004023EF" w:rsidP="00D3443A">
            <w:pPr>
              <w:ind w:left="90"/>
              <w:rPr>
                <w:rFonts w:ascii="Times New Roman" w:hAnsi="Times New Roman" w:cs="Times New Roman"/>
                <w:szCs w:val="24"/>
              </w:rPr>
            </w:pPr>
            <w:r w:rsidRPr="00B41C1B">
              <w:rPr>
                <w:rFonts w:ascii="Times New Roman" w:hAnsi="Times New Roman" w:cs="Times New Roman"/>
                <w:szCs w:val="24"/>
              </w:rPr>
              <w:t>Procurement Agent</w:t>
            </w:r>
          </w:p>
        </w:tc>
      </w:tr>
      <w:tr w:rsidR="004023EF" w:rsidRPr="00B41C1B" w14:paraId="5BF93B06" w14:textId="77777777" w:rsidTr="00D3443A">
        <w:trPr>
          <w:trHeight w:val="498"/>
        </w:trPr>
        <w:tc>
          <w:tcPr>
            <w:tcW w:w="2630" w:type="dxa"/>
            <w:vAlign w:val="center"/>
          </w:tcPr>
          <w:p w14:paraId="6D2E8B8F" w14:textId="77777777" w:rsidR="004023EF" w:rsidRPr="00B41C1B" w:rsidRDefault="004023EF" w:rsidP="00D3443A">
            <w:pPr>
              <w:ind w:left="90"/>
              <w:jc w:val="right"/>
              <w:rPr>
                <w:rFonts w:ascii="Times New Roman" w:hAnsi="Times New Roman" w:cs="Times New Roman"/>
                <w:szCs w:val="24"/>
              </w:rPr>
            </w:pPr>
            <w:r w:rsidRPr="00B41C1B">
              <w:rPr>
                <w:rFonts w:ascii="Times New Roman" w:hAnsi="Times New Roman" w:cs="Times New Roman"/>
                <w:szCs w:val="24"/>
              </w:rPr>
              <w:t>c/o:</w:t>
            </w:r>
          </w:p>
        </w:tc>
        <w:tc>
          <w:tcPr>
            <w:tcW w:w="6210" w:type="dxa"/>
            <w:vAlign w:val="center"/>
          </w:tcPr>
          <w:p w14:paraId="2DACDF24" w14:textId="77777777" w:rsidR="004023EF" w:rsidRPr="00B41C1B" w:rsidRDefault="004023EF" w:rsidP="00D3443A">
            <w:pPr>
              <w:ind w:left="90"/>
              <w:rPr>
                <w:rFonts w:ascii="Times New Roman" w:hAnsi="Times New Roman" w:cs="Times New Roman"/>
                <w:iCs/>
                <w:szCs w:val="24"/>
              </w:rPr>
            </w:pPr>
            <w:r w:rsidRPr="00B41C1B">
              <w:rPr>
                <w:rFonts w:ascii="warnock-pro-1" w:hAnsi="warnock-pro-1"/>
                <w:iCs/>
                <w:color w:val="222222"/>
                <w:lang w:val="en"/>
              </w:rPr>
              <w:t>MCA-Kosovo</w:t>
            </w:r>
          </w:p>
        </w:tc>
      </w:tr>
      <w:tr w:rsidR="004023EF" w:rsidRPr="00B41C1B" w14:paraId="0380842D" w14:textId="77777777" w:rsidTr="00D3443A">
        <w:trPr>
          <w:trHeight w:val="1002"/>
        </w:trPr>
        <w:tc>
          <w:tcPr>
            <w:tcW w:w="2630" w:type="dxa"/>
            <w:vAlign w:val="center"/>
          </w:tcPr>
          <w:p w14:paraId="035A31F2" w14:textId="77777777" w:rsidR="004023EF" w:rsidRPr="00B41C1B" w:rsidRDefault="004023EF" w:rsidP="00D3443A">
            <w:pPr>
              <w:ind w:left="90"/>
              <w:jc w:val="right"/>
              <w:rPr>
                <w:rFonts w:ascii="Times New Roman" w:hAnsi="Times New Roman" w:cs="Times New Roman"/>
                <w:szCs w:val="24"/>
              </w:rPr>
            </w:pPr>
            <w:r w:rsidRPr="00B41C1B">
              <w:rPr>
                <w:rFonts w:ascii="Times New Roman" w:hAnsi="Times New Roman" w:cs="Times New Roman"/>
                <w:szCs w:val="24"/>
              </w:rPr>
              <w:t>Address:</w:t>
            </w:r>
          </w:p>
        </w:tc>
        <w:tc>
          <w:tcPr>
            <w:tcW w:w="6210" w:type="dxa"/>
            <w:vAlign w:val="center"/>
          </w:tcPr>
          <w:p w14:paraId="363ABF72" w14:textId="77777777" w:rsidR="004023EF" w:rsidRPr="00B41C1B" w:rsidRDefault="004023EF" w:rsidP="00D3443A">
            <w:pPr>
              <w:ind w:left="90"/>
              <w:rPr>
                <w:rFonts w:ascii="Times New Roman" w:hAnsi="Times New Roman" w:cs="Times New Roman"/>
                <w:szCs w:val="24"/>
              </w:rPr>
            </w:pPr>
            <w:r w:rsidRPr="00B41C1B">
              <w:rPr>
                <w:rFonts w:ascii="Times New Roman" w:hAnsi="Times New Roman" w:cs="Times New Roman"/>
                <w:szCs w:val="24"/>
              </w:rPr>
              <w:t xml:space="preserve">MCA-Kosovo </w:t>
            </w:r>
          </w:p>
          <w:p w14:paraId="2362E79E" w14:textId="77777777" w:rsidR="00382989" w:rsidRPr="00B41C1B" w:rsidRDefault="00382989" w:rsidP="00D3443A">
            <w:pPr>
              <w:ind w:left="90"/>
              <w:rPr>
                <w:rFonts w:ascii="Times New Roman" w:hAnsi="Times New Roman" w:cs="Times New Roman"/>
                <w:szCs w:val="24"/>
              </w:rPr>
            </w:pPr>
            <w:r w:rsidRPr="00B41C1B">
              <w:rPr>
                <w:rFonts w:ascii="Times New Roman" w:hAnsi="Times New Roman" w:cs="Times New Roman"/>
                <w:szCs w:val="24"/>
              </w:rPr>
              <w:t xml:space="preserve">Migjeni Str. No. 21 (9th floor), </w:t>
            </w:r>
          </w:p>
          <w:p w14:paraId="596B469B" w14:textId="6B1F1B30" w:rsidR="004023EF" w:rsidRPr="00B41C1B" w:rsidRDefault="00382989" w:rsidP="00D3443A">
            <w:pPr>
              <w:ind w:left="90"/>
              <w:rPr>
                <w:rFonts w:ascii="Times New Roman" w:hAnsi="Times New Roman" w:cs="Times New Roman"/>
                <w:szCs w:val="24"/>
              </w:rPr>
            </w:pPr>
            <w:r w:rsidRPr="00B41C1B">
              <w:rPr>
                <w:rFonts w:ascii="Times New Roman" w:hAnsi="Times New Roman" w:cs="Times New Roman"/>
                <w:szCs w:val="24"/>
              </w:rPr>
              <w:t>10000 Pristina, Kosovo</w:t>
            </w:r>
          </w:p>
        </w:tc>
      </w:tr>
      <w:tr w:rsidR="004023EF" w:rsidRPr="00D81A78" w14:paraId="33BBEBD1" w14:textId="77777777" w:rsidTr="00D3443A">
        <w:trPr>
          <w:trHeight w:val="534"/>
        </w:trPr>
        <w:tc>
          <w:tcPr>
            <w:tcW w:w="2630" w:type="dxa"/>
            <w:vAlign w:val="center"/>
          </w:tcPr>
          <w:p w14:paraId="745B59FB" w14:textId="77777777" w:rsidR="004023EF" w:rsidRPr="00B41C1B" w:rsidRDefault="004023EF" w:rsidP="00D3443A">
            <w:pPr>
              <w:ind w:left="90"/>
              <w:jc w:val="right"/>
              <w:rPr>
                <w:rFonts w:ascii="Times New Roman" w:hAnsi="Times New Roman" w:cs="Times New Roman"/>
                <w:szCs w:val="24"/>
              </w:rPr>
            </w:pPr>
            <w:r w:rsidRPr="00B41C1B">
              <w:rPr>
                <w:rFonts w:ascii="Times New Roman" w:hAnsi="Times New Roman" w:cs="Times New Roman"/>
                <w:szCs w:val="24"/>
              </w:rPr>
              <w:t>Email:</w:t>
            </w:r>
          </w:p>
        </w:tc>
        <w:tc>
          <w:tcPr>
            <w:tcW w:w="6210" w:type="dxa"/>
            <w:vAlign w:val="center"/>
          </w:tcPr>
          <w:p w14:paraId="05CFF9C2" w14:textId="27BE28C1" w:rsidR="002F7229" w:rsidRPr="002E64CF" w:rsidRDefault="0038173B" w:rsidP="00D3443A">
            <w:pPr>
              <w:ind w:left="90"/>
              <w:rPr>
                <w:rStyle w:val="Hyperlink"/>
                <w:rFonts w:ascii="Times New Roman" w:hAnsi="Times New Roman" w:cs="Times New Roman"/>
                <w:szCs w:val="24"/>
              </w:rPr>
            </w:pPr>
            <w:hyperlink r:id="rId8" w:history="1">
              <w:r w:rsidR="00B41C1B" w:rsidRPr="002E64CF">
                <w:rPr>
                  <w:rStyle w:val="Hyperlink"/>
                  <w:rFonts w:ascii="Times New Roman" w:hAnsi="Times New Roman" w:cs="Times New Roman"/>
                </w:rPr>
                <w:t>agon.hysaj@rks-gov.net</w:t>
              </w:r>
            </w:hyperlink>
            <w:r w:rsidR="002F7229" w:rsidRPr="002E64CF">
              <w:rPr>
                <w:rStyle w:val="Hyperlink"/>
                <w:rFonts w:ascii="Times New Roman" w:hAnsi="Times New Roman" w:cs="Times New Roman"/>
                <w:szCs w:val="24"/>
              </w:rPr>
              <w:t xml:space="preserve">; </w:t>
            </w:r>
          </w:p>
          <w:p w14:paraId="6F97F5C1" w14:textId="78E489EC" w:rsidR="004023EF" w:rsidRPr="00D81A78" w:rsidRDefault="0038173B" w:rsidP="00D3443A">
            <w:pPr>
              <w:ind w:left="90"/>
              <w:rPr>
                <w:rFonts w:ascii="Times New Roman" w:hAnsi="Times New Roman" w:cs="Times New Roman"/>
                <w:szCs w:val="24"/>
              </w:rPr>
            </w:pPr>
            <w:hyperlink r:id="rId9" w:history="1">
              <w:r w:rsidR="00BC4D12" w:rsidRPr="00B41C1B">
                <w:rPr>
                  <w:rStyle w:val="Hyperlink"/>
                  <w:rFonts w:ascii="Times New Roman" w:hAnsi="Times New Roman" w:cs="Times New Roman"/>
                  <w:szCs w:val="24"/>
                </w:rPr>
                <w:t>mcakosovopa@dt-global.com</w:t>
              </w:r>
            </w:hyperlink>
            <w:r w:rsidR="00957D2D">
              <w:rPr>
                <w:rFonts w:ascii="Times New Roman" w:hAnsi="Times New Roman" w:cs="Times New Roman"/>
                <w:szCs w:val="24"/>
              </w:rPr>
              <w:t xml:space="preserve"> </w:t>
            </w:r>
          </w:p>
        </w:tc>
      </w:tr>
    </w:tbl>
    <w:p w14:paraId="4B5290C2" w14:textId="77777777" w:rsidR="004023EF" w:rsidRPr="00874DE1" w:rsidRDefault="004023EF" w:rsidP="004023EF">
      <w:pPr>
        <w:pStyle w:val="NoSpacing"/>
        <w:rPr>
          <w:rFonts w:ascii="Times New Roman" w:hAnsi="Times New Roman" w:cs="Times New Roman"/>
          <w:sz w:val="24"/>
          <w:szCs w:val="24"/>
        </w:rPr>
      </w:pPr>
    </w:p>
    <w:p w14:paraId="3E1295B7" w14:textId="77777777" w:rsidR="0062611B" w:rsidRDefault="0062611B"/>
    <w:sectPr w:rsidR="0062611B" w:rsidSect="007C451F">
      <w:footerReference w:type="default" r:id="rId10"/>
      <w:pgSz w:w="12240" w:h="15840"/>
      <w:pgMar w:top="1440" w:right="1440" w:bottom="990" w:left="1440"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2C19" w14:textId="77777777" w:rsidR="00DC3D89" w:rsidRDefault="00DC3D89">
      <w:pPr>
        <w:spacing w:after="0" w:line="240" w:lineRule="auto"/>
      </w:pPr>
      <w:r>
        <w:separator/>
      </w:r>
    </w:p>
  </w:endnote>
  <w:endnote w:type="continuationSeparator" w:id="0">
    <w:p w14:paraId="0C704982" w14:textId="77777777" w:rsidR="00DC3D89" w:rsidRDefault="00DC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warnock-pro-1">
    <w:altName w:val="Times New Roman"/>
    <w:charset w:val="00"/>
    <w:family w:val="auto"/>
    <w:pitch w:val="default"/>
  </w:font>
  <w:font w:name="Gotham Book">
    <w:altName w:val="Calibri"/>
    <w:panose1 w:val="00000000000000000000"/>
    <w:charset w:val="00"/>
    <w:family w:val="auto"/>
    <w:notTrueType/>
    <w:pitch w:val="variable"/>
    <w:sig w:usb0="00000001" w:usb1="4000005B" w:usb2="00000000" w:usb3="00000000" w:csb0="0000009B" w:csb1="00000000"/>
  </w:font>
  <w:font w:name="Gotham Light">
    <w:altName w:val="Times New Roman"/>
    <w:panose1 w:val="00000000000000000000"/>
    <w:charset w:val="00"/>
    <w:family w:val="auto"/>
    <w:notTrueType/>
    <w:pitch w:val="variable"/>
    <w:sig w:usb0="00000001"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8640"/>
      <w:docPartObj>
        <w:docPartGallery w:val="Page Numbers (Bottom of Page)"/>
        <w:docPartUnique/>
      </w:docPartObj>
    </w:sdtPr>
    <w:sdtEndPr>
      <w:rPr>
        <w:rFonts w:ascii="Gotham Book" w:hAnsi="Gotham Book"/>
        <w:noProof/>
        <w:sz w:val="20"/>
      </w:rPr>
    </w:sdtEndPr>
    <w:sdtContent>
      <w:p w14:paraId="39884888" w14:textId="77777777" w:rsidR="00D81A78" w:rsidRPr="001B454C" w:rsidRDefault="004023EF" w:rsidP="00D81A78">
        <w:pPr>
          <w:pStyle w:val="Footer"/>
          <w:jc w:val="center"/>
          <w:rPr>
            <w:rFonts w:ascii="Gotham Book" w:hAnsi="Gotham Book"/>
            <w:sz w:val="20"/>
          </w:rPr>
        </w:pPr>
        <w:r w:rsidRPr="001B454C">
          <w:rPr>
            <w:rFonts w:ascii="Gotham Book" w:hAnsi="Gotham Book"/>
            <w:sz w:val="20"/>
          </w:rPr>
          <w:fldChar w:fldCharType="begin"/>
        </w:r>
        <w:r w:rsidRPr="001B454C">
          <w:rPr>
            <w:rFonts w:ascii="Gotham Book" w:hAnsi="Gotham Book"/>
            <w:sz w:val="20"/>
          </w:rPr>
          <w:instrText xml:space="preserve"> PAGE   \* MERGEFORMAT </w:instrText>
        </w:r>
        <w:r w:rsidRPr="001B454C">
          <w:rPr>
            <w:rFonts w:ascii="Gotham Book" w:hAnsi="Gotham Book"/>
            <w:sz w:val="20"/>
          </w:rPr>
          <w:fldChar w:fldCharType="separate"/>
        </w:r>
        <w:r>
          <w:rPr>
            <w:rFonts w:ascii="Gotham Book" w:hAnsi="Gotham Book"/>
            <w:noProof/>
            <w:sz w:val="20"/>
          </w:rPr>
          <w:t>3</w:t>
        </w:r>
        <w:r w:rsidRPr="001B454C">
          <w:rPr>
            <w:rFonts w:ascii="Gotham Book" w:hAnsi="Gotham Book"/>
            <w:noProof/>
            <w:sz w:val="20"/>
          </w:rPr>
          <w:fldChar w:fldCharType="end"/>
        </w:r>
      </w:p>
    </w:sdtContent>
  </w:sdt>
  <w:p w14:paraId="3C534C05" w14:textId="77777777" w:rsidR="00D81A78" w:rsidRPr="0059660B" w:rsidRDefault="0038173B" w:rsidP="00D81A78">
    <w:pPr>
      <w:pStyle w:val="Footer"/>
      <w:jc w:val="center"/>
      <w:rPr>
        <w:rFonts w:ascii="Gotham Light" w:hAnsi="Gotham Light"/>
        <w:sz w:val="24"/>
      </w:rPr>
    </w:pPr>
  </w:p>
  <w:p w14:paraId="629821A6" w14:textId="77777777" w:rsidR="00D81A78" w:rsidRDefault="00381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72BE" w14:textId="77777777" w:rsidR="00DC3D89" w:rsidRDefault="00DC3D89">
      <w:pPr>
        <w:spacing w:after="0" w:line="240" w:lineRule="auto"/>
      </w:pPr>
      <w:r>
        <w:separator/>
      </w:r>
    </w:p>
  </w:footnote>
  <w:footnote w:type="continuationSeparator" w:id="0">
    <w:p w14:paraId="0A2D7E2D" w14:textId="77777777" w:rsidR="00DC3D89" w:rsidRDefault="00DC3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EF"/>
    <w:rsid w:val="00057049"/>
    <w:rsid w:val="00087AE4"/>
    <w:rsid w:val="000D538C"/>
    <w:rsid w:val="00154897"/>
    <w:rsid w:val="001B4CB6"/>
    <w:rsid w:val="001D25F5"/>
    <w:rsid w:val="001D3212"/>
    <w:rsid w:val="001D6A81"/>
    <w:rsid w:val="002429AF"/>
    <w:rsid w:val="002707A6"/>
    <w:rsid w:val="00276D9D"/>
    <w:rsid w:val="002D53FC"/>
    <w:rsid w:val="002D5E9B"/>
    <w:rsid w:val="002E64CF"/>
    <w:rsid w:val="002F7229"/>
    <w:rsid w:val="00301FA7"/>
    <w:rsid w:val="0032246C"/>
    <w:rsid w:val="00334A28"/>
    <w:rsid w:val="0038173B"/>
    <w:rsid w:val="00382989"/>
    <w:rsid w:val="0039433D"/>
    <w:rsid w:val="003D015E"/>
    <w:rsid w:val="003E32B2"/>
    <w:rsid w:val="003E336E"/>
    <w:rsid w:val="004023EF"/>
    <w:rsid w:val="004230A1"/>
    <w:rsid w:val="00424A21"/>
    <w:rsid w:val="0044162E"/>
    <w:rsid w:val="00454831"/>
    <w:rsid w:val="004729C1"/>
    <w:rsid w:val="0049552B"/>
    <w:rsid w:val="004A1C8D"/>
    <w:rsid w:val="004A4065"/>
    <w:rsid w:val="004B66B4"/>
    <w:rsid w:val="004F1BA4"/>
    <w:rsid w:val="0050753D"/>
    <w:rsid w:val="00547948"/>
    <w:rsid w:val="00582915"/>
    <w:rsid w:val="00586343"/>
    <w:rsid w:val="00593669"/>
    <w:rsid w:val="005B3592"/>
    <w:rsid w:val="005C5A98"/>
    <w:rsid w:val="0062611B"/>
    <w:rsid w:val="006565A5"/>
    <w:rsid w:val="00725F77"/>
    <w:rsid w:val="007332B3"/>
    <w:rsid w:val="00756C04"/>
    <w:rsid w:val="00783AFF"/>
    <w:rsid w:val="007A2341"/>
    <w:rsid w:val="007A6F99"/>
    <w:rsid w:val="007D01E9"/>
    <w:rsid w:val="007D4ACA"/>
    <w:rsid w:val="007D7695"/>
    <w:rsid w:val="007E2200"/>
    <w:rsid w:val="008008AD"/>
    <w:rsid w:val="00840E47"/>
    <w:rsid w:val="00842998"/>
    <w:rsid w:val="008A4398"/>
    <w:rsid w:val="008F681B"/>
    <w:rsid w:val="00957D2D"/>
    <w:rsid w:val="00A36B70"/>
    <w:rsid w:val="00B20F07"/>
    <w:rsid w:val="00B41C1B"/>
    <w:rsid w:val="00BC4D12"/>
    <w:rsid w:val="00BF0D7E"/>
    <w:rsid w:val="00CD326A"/>
    <w:rsid w:val="00CF62C0"/>
    <w:rsid w:val="00D23D74"/>
    <w:rsid w:val="00D240A4"/>
    <w:rsid w:val="00D727A4"/>
    <w:rsid w:val="00DC3D89"/>
    <w:rsid w:val="00DE7363"/>
    <w:rsid w:val="00E524F6"/>
    <w:rsid w:val="00F61998"/>
    <w:rsid w:val="00F80159"/>
    <w:rsid w:val="00FD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DE85"/>
  <w15:chartTrackingRefBased/>
  <w15:docId w15:val="{8425FEAB-424D-4F30-8428-3079589E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23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023EF"/>
    <w:rPr>
      <w:color w:val="0000FF"/>
      <w:u w:val="single"/>
    </w:rPr>
  </w:style>
  <w:style w:type="paragraph" w:styleId="NoSpacing">
    <w:name w:val="No Spacing"/>
    <w:uiPriority w:val="1"/>
    <w:qFormat/>
    <w:rsid w:val="004023EF"/>
    <w:pPr>
      <w:spacing w:after="0" w:line="240" w:lineRule="auto"/>
    </w:pPr>
    <w:rPr>
      <w:lang w:val="en-US"/>
    </w:rPr>
  </w:style>
  <w:style w:type="paragraph" w:customStyle="1" w:styleId="Heading4">
    <w:name w:val="Heading4"/>
    <w:basedOn w:val="Normal"/>
    <w:qFormat/>
    <w:rsid w:val="004023EF"/>
    <w:rPr>
      <w:rFonts w:ascii="Gotham Medium" w:hAnsi="Gotham Medium" w:cs="Helvetica"/>
      <w:bCs/>
      <w:color w:val="222222"/>
      <w:sz w:val="24"/>
      <w:szCs w:val="20"/>
    </w:rPr>
  </w:style>
  <w:style w:type="table" w:customStyle="1" w:styleId="TableGrid1">
    <w:name w:val="Table Grid1"/>
    <w:basedOn w:val="TableNormal"/>
    <w:next w:val="TableGrid"/>
    <w:uiPriority w:val="59"/>
    <w:rsid w:val="004023EF"/>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02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3EF"/>
    <w:rPr>
      <w:lang w:val="en-US"/>
    </w:rPr>
  </w:style>
  <w:style w:type="table" w:styleId="TableGrid">
    <w:name w:val="Table Grid"/>
    <w:basedOn w:val="TableNormal"/>
    <w:uiPriority w:val="39"/>
    <w:rsid w:val="0040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7D2D"/>
    <w:rPr>
      <w:color w:val="605E5C"/>
      <w:shd w:val="clear" w:color="auto" w:fill="E1DFDD"/>
    </w:rPr>
  </w:style>
  <w:style w:type="paragraph" w:styleId="Revision">
    <w:name w:val="Revision"/>
    <w:hidden/>
    <w:uiPriority w:val="99"/>
    <w:semiHidden/>
    <w:rsid w:val="00756C0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n.hysaj@rks-gov.net" TargetMode="External"/><Relationship Id="rId3" Type="http://schemas.openxmlformats.org/officeDocument/2006/relationships/webSettings" Target="webSettings.xml"/><Relationship Id="rId7" Type="http://schemas.openxmlformats.org/officeDocument/2006/relationships/hyperlink" Target="http://www.dgmarke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vbusines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cakosovopa@dt-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Abetare Prebreza</dc:creator>
  <cp:keywords/>
  <dc:description/>
  <cp:lastModifiedBy>Abetare Prebreza</cp:lastModifiedBy>
  <cp:revision>4</cp:revision>
  <dcterms:created xsi:type="dcterms:W3CDTF">2023-10-05T16:13:00Z</dcterms:created>
  <dcterms:modified xsi:type="dcterms:W3CDTF">2023-10-06T06:29:00Z</dcterms:modified>
</cp:coreProperties>
</file>